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2C208653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5B0062CA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3A12D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5B0062CA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3A12D5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</w:t>
      </w:r>
      <w:r w:rsidR="003A12D5">
        <w:rPr>
          <w:rStyle w:val="apple-converted-space"/>
          <w:rFonts w:ascii="Calibri" w:hAnsi="Calibri" w:cs="Calibri"/>
          <w:b/>
          <w:color w:val="000000"/>
          <w:u w:val="single"/>
        </w:rPr>
        <w:t>hursday 13</w:t>
      </w:r>
      <w:r w:rsidR="003A12D5" w:rsidRPr="003A12D5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A12D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April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6B1F976E" w14:textId="53266AB5" w:rsidR="00397D46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79D50D82" w14:textId="1978A811" w:rsidR="00941DE1" w:rsidRDefault="00941DE1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Lewin</w:t>
      </w:r>
      <w:r w:rsidR="00FD6A88">
        <w:rPr>
          <w:rFonts w:ascii="Calibri" w:hAnsi="Calibri" w:cs="Calibri"/>
        </w:rPr>
        <w:t xml:space="preserve"> – Buckinghamshire Councillor</w:t>
      </w:r>
    </w:p>
    <w:p w14:paraId="03D8718E" w14:textId="2FF89F73" w:rsidR="009051CA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4F9CDFFB" w:rsidR="007D3A03" w:rsidRDefault="00941DE1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Various </w:t>
      </w:r>
      <w:r w:rsidR="007D3A03">
        <w:rPr>
          <w:rFonts w:ascii="Calibri" w:hAnsi="Calibri" w:cs="Calibri"/>
        </w:rPr>
        <w:t>members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4810E2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4810E2" w:rsidRDefault="0003650A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4A80469" w:rsidR="009F6D0A" w:rsidRPr="004810E2" w:rsidRDefault="00AC5BC9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Wright</w:t>
            </w:r>
          </w:p>
        </w:tc>
      </w:tr>
      <w:tr w:rsidR="00FA6FF6" w:rsidRPr="004810E2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4810E2" w:rsidRDefault="0003650A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53C2C6C1" w:rsidR="009051CA" w:rsidRPr="004810E2" w:rsidRDefault="00AC627B" w:rsidP="004810E2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9051CA" w:rsidRPr="004810E2" w14:paraId="2414CC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6A30E881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698C1281" w:rsidR="009051CA" w:rsidRPr="004810E2" w:rsidRDefault="009051CA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05279AFA" w:rsidR="009051CA" w:rsidRPr="004810E2" w:rsidRDefault="009051CA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AC627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C627B" w:rsidRPr="00AC627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AC627B">
              <w:rPr>
                <w:rFonts w:asciiTheme="minorHAnsi" w:hAnsiTheme="minorHAnsi" w:cstheme="minorHAnsi"/>
                <w:sz w:val="22"/>
                <w:szCs w:val="22"/>
              </w:rPr>
              <w:t xml:space="preserve"> February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2023 were unanimously accepted by the council then signed and dated by the Chairman.</w:t>
            </w:r>
          </w:p>
        </w:tc>
      </w:tr>
      <w:tr w:rsidR="004A6BA2" w:rsidRPr="004810E2" w14:paraId="5B8A56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1B127392" w:rsidR="004A6BA2" w:rsidRPr="004810E2" w:rsidRDefault="004A6BA2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233F395E" w:rsidR="004A6BA2" w:rsidRPr="004810E2" w:rsidRDefault="004A6BA2" w:rsidP="004810E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Quarterly spending review and Year End Finances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4C730" w14:textId="7D50057E" w:rsidR="00F82580" w:rsidRPr="004810E2" w:rsidRDefault="004A6BA2" w:rsidP="006C4DC6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income of £15,220 for the year with</w:t>
            </w:r>
            <w:r w:rsidR="00F82580">
              <w:rPr>
                <w:rFonts w:asciiTheme="minorHAnsi" w:hAnsiTheme="minorHAnsi" w:cstheme="minorHAnsi"/>
                <w:sz w:val="22"/>
                <w:szCs w:val="22"/>
              </w:rPr>
              <w:t xml:space="preserve"> an expenditure of £14,945.  Balance in current account £17,209 and Savings Account £8704.</w:t>
            </w:r>
          </w:p>
        </w:tc>
      </w:tr>
      <w:tr w:rsidR="008E7DF3" w:rsidRPr="004810E2" w14:paraId="5279A3BF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2B1F3FFE" w:rsidR="008E7DF3" w:rsidRPr="004810E2" w:rsidRDefault="008E7DF3" w:rsidP="004810E2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02C9EFA3" w:rsidR="008E7DF3" w:rsidRDefault="008E7DF3" w:rsidP="004810E2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AGAR Form 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9FBB2" w14:textId="69BFE1A1" w:rsidR="008E7DF3" w:rsidRPr="004810E2" w:rsidRDefault="000D1046" w:rsidP="004810E2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was approved and signed by the Chair and Clerk.</w:t>
            </w:r>
          </w:p>
        </w:tc>
      </w:tr>
      <w:tr w:rsidR="000D1046" w:rsidRPr="004810E2" w14:paraId="666963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568B" w14:textId="263387DD" w:rsidR="000D1046" w:rsidRDefault="000D1046" w:rsidP="004810E2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4b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FB6F" w14:textId="17245D6D" w:rsidR="000D1046" w:rsidRDefault="00C438AA" w:rsidP="004810E2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of draft 2022/23 accounts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2A6E4" w14:textId="5B9C9C62" w:rsidR="000D1046" w:rsidRDefault="00C438AA" w:rsidP="004810E2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approved.</w:t>
            </w:r>
          </w:p>
        </w:tc>
      </w:tr>
      <w:tr w:rsidR="009051CA" w:rsidRPr="004810E2" w14:paraId="6BDF6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3151EC50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1137BA8F" w:rsidR="009051CA" w:rsidRPr="0041222C" w:rsidRDefault="0041222C" w:rsidP="004810E2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222C">
              <w:rPr>
                <w:rFonts w:asciiTheme="minorHAnsi" w:hAnsiTheme="minorHAnsi" w:cstheme="minorHAnsi"/>
                <w:sz w:val="22"/>
                <w:szCs w:val="22"/>
              </w:rPr>
              <w:t>Highways Devolution Variation/Extension 2023/24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01E24B7F" w:rsidR="009051CA" w:rsidRPr="004810E2" w:rsidRDefault="00F21F3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has been extended to 31</w:t>
            </w:r>
            <w:r w:rsidRPr="00F21F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 2024</w:t>
            </w:r>
            <w:r w:rsidR="00936351">
              <w:rPr>
                <w:rFonts w:asciiTheme="minorHAnsi" w:hAnsiTheme="minorHAnsi" w:cstheme="minorHAnsi"/>
                <w:sz w:val="22"/>
                <w:szCs w:val="22"/>
              </w:rPr>
              <w:t>, with a 9% uplift in funding.</w:t>
            </w:r>
          </w:p>
        </w:tc>
      </w:tr>
      <w:tr w:rsidR="009051CA" w:rsidRPr="004810E2" w14:paraId="03503DA1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0CD60DB5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FF6D05F" w:rsidR="009051CA" w:rsidRPr="004810E2" w:rsidRDefault="007164EE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DA04" w14:textId="77777777" w:rsidR="00805057" w:rsidRDefault="007164E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Role to be advertised on website, notice boards and village social media accounts.</w:t>
            </w:r>
          </w:p>
          <w:p w14:paraId="508DCEE2" w14:textId="77777777" w:rsidR="00805057" w:rsidRDefault="0080505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Applicants will need to write to the Clerk.</w:t>
            </w:r>
          </w:p>
          <w:p w14:paraId="40C9A2FD" w14:textId="77777777" w:rsidR="00C01D21" w:rsidRDefault="00C01D21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Deadline for applications – 18</w:t>
            </w:r>
            <w:r w:rsidRPr="00C01D2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2023</w:t>
            </w:r>
          </w:p>
          <w:p w14:paraId="351BB735" w14:textId="7C7E46CD" w:rsidR="009051CA" w:rsidRPr="004810E2" w:rsidRDefault="00C01D21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write advert.</w:t>
            </w:r>
            <w:r w:rsidR="004810E2"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051CA" w:rsidRPr="004810E2" w14:paraId="5E1E7F7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2F88B09E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545DC2D" w:rsidR="009051CA" w:rsidRPr="004810E2" w:rsidRDefault="0085646A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F71C" w14:textId="77777777" w:rsidR="009051CA" w:rsidRDefault="0085646A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Merry updated the Council on the development plans for the Village Hall.</w:t>
            </w:r>
          </w:p>
          <w:p w14:paraId="02EDC3AF" w14:textId="77777777" w:rsidR="0085646A" w:rsidRDefault="00FF58D8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DEFRA have approved the £18k grant</w:t>
            </w:r>
            <w:r w:rsidR="00C378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125E8C" w14:textId="77777777" w:rsidR="00C37867" w:rsidRDefault="00C37867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Community Board have indicated they would approve a £5k donation.  They will require WPC support with the application.</w:t>
            </w:r>
          </w:p>
          <w:p w14:paraId="7B3357B7" w14:textId="77777777" w:rsidR="009037A2" w:rsidRDefault="009037A2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1992E" w14:textId="77777777" w:rsidR="009037A2" w:rsidRDefault="009037A2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Traffic calming was raised</w:t>
            </w:r>
            <w:r w:rsidR="00556E8C">
              <w:rPr>
                <w:rFonts w:asciiTheme="minorHAnsi" w:hAnsiTheme="minorHAnsi" w:cstheme="minorHAnsi"/>
                <w:sz w:val="22"/>
                <w:szCs w:val="22"/>
              </w:rPr>
              <w:t>; the road that approaches the Village from Wornal Park</w:t>
            </w:r>
            <w:r w:rsidR="00973691">
              <w:rPr>
                <w:rFonts w:asciiTheme="minorHAnsi" w:hAnsiTheme="minorHAnsi" w:cstheme="minorHAnsi"/>
                <w:sz w:val="22"/>
                <w:szCs w:val="22"/>
              </w:rPr>
              <w:t xml:space="preserve">, you do not see the 30 signs until you are in the Village.  Cllr Skates to raise with Bucks Council at </w:t>
            </w:r>
            <w:r w:rsidR="004548D4">
              <w:rPr>
                <w:rFonts w:asciiTheme="minorHAnsi" w:hAnsiTheme="minorHAnsi" w:cstheme="minorHAnsi"/>
                <w:sz w:val="22"/>
                <w:szCs w:val="22"/>
              </w:rPr>
              <w:t>the upcoming meeting.</w:t>
            </w:r>
          </w:p>
          <w:p w14:paraId="139D063D" w14:textId="77777777" w:rsidR="004A3C59" w:rsidRDefault="004A3C5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989D7" w14:textId="77777777" w:rsidR="004A3C59" w:rsidRDefault="004A3C59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closure of the Airfield was raised as the current closure notices expire this month. Cllr Lewin will raise with Bucks Council</w:t>
            </w:r>
            <w:r w:rsidR="001236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B52561" w14:textId="77777777" w:rsidR="0012361E" w:rsidRDefault="0012361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5459B" w14:textId="77777777" w:rsidR="0012361E" w:rsidRDefault="0012361E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showed the latest data from the speed</w:t>
            </w:r>
            <w:r w:rsidR="00B601C9">
              <w:rPr>
                <w:rFonts w:asciiTheme="minorHAnsi" w:hAnsiTheme="minorHAnsi" w:cstheme="minorHAnsi"/>
                <w:sz w:val="22"/>
                <w:szCs w:val="22"/>
              </w:rPr>
              <w:t xml:space="preserve"> cameras, highest speed on Menmarsh Road 48mph, highest speed on Clifden Road 70mph.</w:t>
            </w:r>
          </w:p>
          <w:p w14:paraId="5FFF3EF1" w14:textId="0EA27669" w:rsidR="00162B1C" w:rsidRPr="004810E2" w:rsidRDefault="00162B1C" w:rsidP="004810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51CA" w:rsidRPr="004810E2" w14:paraId="0AF96B8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84E63A3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7FD21851" w:rsidR="009051CA" w:rsidRPr="004810E2" w:rsidRDefault="00D552D3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Shabbington Nature Network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73631B36" w:rsidR="009051CA" w:rsidRPr="004810E2" w:rsidRDefault="00D552D3" w:rsidP="004810E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have been contacted by this Group</w:t>
            </w:r>
            <w:r w:rsidR="002C1F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3179">
              <w:rPr>
                <w:rFonts w:asciiTheme="minorHAnsi" w:hAnsiTheme="minorHAnsi" w:cstheme="minorHAnsi"/>
                <w:sz w:val="22"/>
                <w:szCs w:val="22"/>
              </w:rPr>
              <w:t>to see if they can link with Worminghall.  Clerk to respond requesting further details.</w:t>
            </w:r>
          </w:p>
        </w:tc>
      </w:tr>
      <w:tr w:rsidR="009051CA" w:rsidRPr="004810E2" w14:paraId="5A82D9B8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2D531" w14:textId="68E75F0D" w:rsidR="009051CA" w:rsidRPr="004810E2" w:rsidRDefault="009051CA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99AD0" w14:textId="38E4582F" w:rsidR="009051CA" w:rsidRPr="004810E2" w:rsidRDefault="002D0CEF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Coldstream Farm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E1049" w14:textId="77777777" w:rsidR="009051CA" w:rsidRDefault="002D0CEF" w:rsidP="004810E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the proposed play area</w:t>
            </w:r>
            <w:r w:rsidR="001B1179">
              <w:rPr>
                <w:rFonts w:asciiTheme="minorHAnsi" w:hAnsiTheme="minorHAnsi" w:cstheme="minorHAnsi"/>
                <w:sz w:val="22"/>
                <w:szCs w:val="22"/>
              </w:rPr>
              <w:t>; Ickford and Oakley have new play areas with excellent equipment.  Clerk to enquire with developers on plans for Worminghall.</w:t>
            </w:r>
          </w:p>
          <w:p w14:paraId="23D73838" w14:textId="77777777" w:rsidR="001B1179" w:rsidRDefault="001B1179" w:rsidP="004810E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4C126" w14:textId="57ECD544" w:rsidR="001B1179" w:rsidRPr="004810E2" w:rsidRDefault="00836456" w:rsidP="004810E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Cllr’s agreed to only take responsibility for the play area, which is shown as the hatched area on the plans.</w:t>
            </w:r>
          </w:p>
        </w:tc>
      </w:tr>
      <w:tr w:rsidR="009051CA" w:rsidRPr="004810E2" w14:paraId="38490ED5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15DB" w14:textId="60A02F01" w:rsidR="009051CA" w:rsidRPr="004810E2" w:rsidRDefault="004810E2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4702" w14:textId="4FC790A0" w:rsidR="009051CA" w:rsidRPr="004810E2" w:rsidRDefault="00541AD0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9CE1" w14:textId="37FF21AA" w:rsidR="00AB7C99" w:rsidRDefault="00AB7C99" w:rsidP="00AB7C99">
            <w:pPr>
              <w:pStyle w:val="ListParagraph"/>
              <w:numPr>
                <w:ilvl w:val="0"/>
                <w:numId w:val="21"/>
              </w:numPr>
              <w:contextualSpacing/>
            </w:pPr>
            <w:r>
              <w:t xml:space="preserve">23/00572/APP  Lappingford Farm     </w:t>
            </w:r>
            <w:r w:rsidR="009F32F1">
              <w:t>SUPPORTS</w:t>
            </w:r>
          </w:p>
          <w:p w14:paraId="631C2513" w14:textId="1BA88CAC" w:rsidR="00AB7C99" w:rsidRDefault="00AB7C99" w:rsidP="00AB7C99">
            <w:pPr>
              <w:pStyle w:val="ListParagraph"/>
              <w:numPr>
                <w:ilvl w:val="0"/>
                <w:numId w:val="21"/>
              </w:numPr>
              <w:contextualSpacing/>
            </w:pPr>
            <w:r>
              <w:t>23/00679/APP – Lakeview</w:t>
            </w:r>
            <w:r w:rsidR="005D5BFD">
              <w:t xml:space="preserve">                   </w:t>
            </w:r>
            <w:r w:rsidR="009F32F1">
              <w:t>OPPOSES</w:t>
            </w:r>
          </w:p>
          <w:p w14:paraId="49C732BA" w14:textId="25B77CA7" w:rsidR="00AB7C99" w:rsidRDefault="00AB7C99" w:rsidP="00AB7C99">
            <w:pPr>
              <w:pStyle w:val="ListParagraph"/>
              <w:numPr>
                <w:ilvl w:val="0"/>
                <w:numId w:val="21"/>
              </w:numPr>
              <w:contextualSpacing/>
            </w:pPr>
            <w:r>
              <w:t>23/00640/APP – Clifden Arms</w:t>
            </w:r>
            <w:r w:rsidR="009F32F1">
              <w:t xml:space="preserve">            SUPPORTS</w:t>
            </w:r>
          </w:p>
          <w:p w14:paraId="79F1E7D4" w14:textId="47CDA09E" w:rsidR="00AB7C99" w:rsidRDefault="00AB7C99" w:rsidP="00AB7C99">
            <w:pPr>
              <w:pStyle w:val="ListParagraph"/>
              <w:numPr>
                <w:ilvl w:val="0"/>
                <w:numId w:val="21"/>
              </w:numPr>
              <w:contextualSpacing/>
            </w:pPr>
            <w:r>
              <w:t>23/00912/APP – 84 Clifden Road</w:t>
            </w:r>
            <w:r w:rsidR="009F32F1">
              <w:t xml:space="preserve">       </w:t>
            </w:r>
            <w:r w:rsidR="00B359E5">
              <w:t>SUPPORTS</w:t>
            </w:r>
          </w:p>
          <w:p w14:paraId="70F9C009" w14:textId="4BFA260B" w:rsidR="004810E2" w:rsidRPr="004810E2" w:rsidRDefault="004810E2" w:rsidP="004810E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C99" w:rsidRPr="004810E2" w14:paraId="3CB88C08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DFDC1" w14:textId="714E33F8" w:rsidR="00AB7C99" w:rsidRPr="004810E2" w:rsidRDefault="00B359E5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CCC07" w14:textId="35B9845F" w:rsidR="00AB7C99" w:rsidRDefault="00442250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FBD47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expenses February &amp; March</w:t>
            </w:r>
            <w:r>
              <w:tab/>
              <w:t>£4.49 &amp; £4.49</w:t>
            </w:r>
          </w:p>
          <w:p w14:paraId="5EBD2F3F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February &amp; March</w:t>
            </w:r>
            <w:r>
              <w:tab/>
              <w:t>£114.75 &amp; £84.15</w:t>
            </w:r>
          </w:p>
          <w:p w14:paraId="1ACA77A7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Website hosting</w:t>
            </w:r>
            <w:r>
              <w:tab/>
            </w:r>
            <w:r>
              <w:tab/>
            </w:r>
            <w:r>
              <w:tab/>
              <w:t>£72</w:t>
            </w:r>
          </w:p>
          <w:p w14:paraId="645D0D7E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Village Hall bookings for 2023</w:t>
            </w:r>
            <w:r>
              <w:tab/>
            </w:r>
            <w:r>
              <w:tab/>
              <w:t>£210</w:t>
            </w:r>
          </w:p>
          <w:p w14:paraId="60DB9415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Insurance</w:t>
            </w:r>
            <w:r>
              <w:tab/>
            </w:r>
            <w:r>
              <w:tab/>
            </w:r>
            <w:r>
              <w:tab/>
            </w:r>
            <w:r>
              <w:tab/>
              <w:t>£557.80</w:t>
            </w:r>
          </w:p>
          <w:p w14:paraId="62CCC663" w14:textId="77777777" w:rsidR="006D3D1D" w:rsidRDefault="006D3D1D" w:rsidP="006D3D1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Domain renewal</w:t>
            </w:r>
            <w:r>
              <w:tab/>
            </w:r>
            <w:r>
              <w:tab/>
            </w:r>
            <w:r>
              <w:tab/>
              <w:t>£28.78</w:t>
            </w:r>
          </w:p>
          <w:p w14:paraId="4AFBE622" w14:textId="65B71FA2" w:rsidR="00AB7C99" w:rsidRPr="006D3D1D" w:rsidRDefault="006D3D1D" w:rsidP="00CD71A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approved.</w:t>
            </w:r>
          </w:p>
        </w:tc>
      </w:tr>
      <w:tr w:rsidR="002C49F3" w:rsidRPr="004810E2" w14:paraId="27F44CCB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DB3AA" w14:textId="2CE2AE62" w:rsidR="002C49F3" w:rsidRDefault="006D3D1D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2483E" w14:textId="67FBF0CD" w:rsidR="002C49F3" w:rsidRDefault="00B77703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E385B" w14:textId="77777777" w:rsidR="002C49F3" w:rsidRDefault="00CB4D73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Ditch </w:t>
            </w:r>
            <w:r w:rsidR="0089290F">
              <w:rPr>
                <w:rFonts w:asciiTheme="minorHAnsi" w:hAnsiTheme="minorHAnsi" w:cstheme="minorHAnsi"/>
                <w:sz w:val="22"/>
                <w:szCs w:val="22"/>
              </w:rPr>
              <w:t>needs to be cleared from culvert to brook at Brissenden Cottages.  Clerk to write to landowners.</w:t>
            </w:r>
          </w:p>
          <w:p w14:paraId="29A69200" w14:textId="77777777" w:rsidR="0089290F" w:rsidRDefault="0089290F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A30F0" w14:textId="59C7A1E5" w:rsidR="00747065" w:rsidRPr="00CB4D73" w:rsidRDefault="00747065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contact Clifden Arms re their inspection chamber, 2 letters have been sent with no response.</w:t>
            </w:r>
          </w:p>
        </w:tc>
      </w:tr>
      <w:tr w:rsidR="002146F5" w:rsidRPr="004810E2" w14:paraId="3617D68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3FFD1" w14:textId="34575477" w:rsidR="002146F5" w:rsidRDefault="002146F5" w:rsidP="004810E2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9AE06" w14:textId="2EDF7005" w:rsidR="002146F5" w:rsidRDefault="00852861" w:rsidP="004810E2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1B83D" w14:textId="77777777" w:rsidR="002146F5" w:rsidRDefault="00852861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next meeting will be the Annual Meeting and first official meeting of the year.</w:t>
            </w:r>
          </w:p>
          <w:p w14:paraId="4BA21351" w14:textId="77777777" w:rsidR="00852861" w:rsidRDefault="00852861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7.30pm start.</w:t>
            </w:r>
          </w:p>
          <w:p w14:paraId="1D87456F" w14:textId="77777777" w:rsidR="00852861" w:rsidRDefault="00701DCE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 25</w:t>
            </w:r>
            <w:r w:rsidRPr="00701D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2023</w:t>
            </w:r>
          </w:p>
          <w:p w14:paraId="04C5DF65" w14:textId="7F61DB92" w:rsidR="00701DCE" w:rsidRDefault="00701DCE" w:rsidP="00B7770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21.08</w:t>
            </w:r>
          </w:p>
        </w:tc>
      </w:tr>
    </w:tbl>
    <w:p w14:paraId="47EDE7F5" w14:textId="14E87188" w:rsidR="008D54CA" w:rsidRPr="004810E2" w:rsidRDefault="00445099" w:rsidP="004810E2">
      <w:pPr>
        <w:rPr>
          <w:rFonts w:asciiTheme="minorHAnsi" w:hAnsiTheme="minorHAnsi" w:cstheme="minorHAnsi"/>
          <w:sz w:val="22"/>
          <w:szCs w:val="22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3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4810E2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AC77" w14:textId="77777777" w:rsidR="00A204C0" w:rsidRDefault="00A204C0" w:rsidP="00642F3A">
      <w:r>
        <w:separator/>
      </w:r>
    </w:p>
  </w:endnote>
  <w:endnote w:type="continuationSeparator" w:id="0">
    <w:p w14:paraId="3076807F" w14:textId="77777777" w:rsidR="00A204C0" w:rsidRDefault="00A204C0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7A94ABBA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12D5">
      <w:rPr>
        <w:rFonts w:ascii="Calibri" w:hAnsi="Calibri" w:cs="Calibri"/>
      </w:rPr>
      <w:t>13</w:t>
    </w:r>
    <w:r w:rsidR="003A12D5" w:rsidRPr="003A12D5">
      <w:rPr>
        <w:rFonts w:ascii="Calibri" w:hAnsi="Calibri" w:cs="Calibri"/>
        <w:vertAlign w:val="superscript"/>
      </w:rPr>
      <w:t>th</w:t>
    </w:r>
    <w:r w:rsidR="003A12D5">
      <w:rPr>
        <w:rFonts w:ascii="Calibri" w:hAnsi="Calibri" w:cs="Calibri"/>
      </w:rPr>
      <w:t xml:space="preserve"> April </w:t>
    </w:r>
    <w:r w:rsidR="009051CA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6A50" w14:textId="77777777" w:rsidR="00A204C0" w:rsidRDefault="00A204C0" w:rsidP="00642F3A">
      <w:r>
        <w:separator/>
      </w:r>
    </w:p>
  </w:footnote>
  <w:footnote w:type="continuationSeparator" w:id="0">
    <w:p w14:paraId="21C963A9" w14:textId="77777777" w:rsidR="00A204C0" w:rsidRDefault="00A204C0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6"/>
  </w:num>
  <w:num w:numId="3" w16cid:durableId="13024252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9"/>
  </w:num>
  <w:num w:numId="5" w16cid:durableId="740442119">
    <w:abstractNumId w:val="0"/>
  </w:num>
  <w:num w:numId="6" w16cid:durableId="428432295">
    <w:abstractNumId w:val="11"/>
  </w:num>
  <w:num w:numId="7" w16cid:durableId="800415438">
    <w:abstractNumId w:val="9"/>
  </w:num>
  <w:num w:numId="8" w16cid:durableId="671494355">
    <w:abstractNumId w:val="17"/>
  </w:num>
  <w:num w:numId="9" w16cid:durableId="1949121715">
    <w:abstractNumId w:val="18"/>
  </w:num>
  <w:num w:numId="10" w16cid:durableId="622268035">
    <w:abstractNumId w:val="8"/>
  </w:num>
  <w:num w:numId="11" w16cid:durableId="600337019">
    <w:abstractNumId w:val="7"/>
  </w:num>
  <w:num w:numId="12" w16cid:durableId="1418088315">
    <w:abstractNumId w:val="20"/>
  </w:num>
  <w:num w:numId="13" w16cid:durableId="1301493384">
    <w:abstractNumId w:val="14"/>
  </w:num>
  <w:num w:numId="14" w16cid:durableId="332685877">
    <w:abstractNumId w:val="15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2"/>
  </w:num>
  <w:num w:numId="18" w16cid:durableId="12926713">
    <w:abstractNumId w:val="4"/>
  </w:num>
  <w:num w:numId="19" w16cid:durableId="2093547807">
    <w:abstractNumId w:val="10"/>
  </w:num>
  <w:num w:numId="20" w16cid:durableId="700783914">
    <w:abstractNumId w:val="1"/>
  </w:num>
  <w:num w:numId="21" w16cid:durableId="506604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937A2"/>
    <w:rsid w:val="000947C8"/>
    <w:rsid w:val="00096700"/>
    <w:rsid w:val="00097D7D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44A3"/>
    <w:rsid w:val="001047E2"/>
    <w:rsid w:val="00110481"/>
    <w:rsid w:val="00113C9B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62B1C"/>
    <w:rsid w:val="00163971"/>
    <w:rsid w:val="001646B5"/>
    <w:rsid w:val="0017622C"/>
    <w:rsid w:val="001762C1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31823"/>
    <w:rsid w:val="00235336"/>
    <w:rsid w:val="00237306"/>
    <w:rsid w:val="002373AA"/>
    <w:rsid w:val="00240ECE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4B6F"/>
    <w:rsid w:val="00285D3C"/>
    <w:rsid w:val="00286E64"/>
    <w:rsid w:val="0029072F"/>
    <w:rsid w:val="002938AA"/>
    <w:rsid w:val="002A3179"/>
    <w:rsid w:val="002A5580"/>
    <w:rsid w:val="002A5D6F"/>
    <w:rsid w:val="002A7459"/>
    <w:rsid w:val="002B4A0C"/>
    <w:rsid w:val="002B4AAF"/>
    <w:rsid w:val="002B4D20"/>
    <w:rsid w:val="002B60F8"/>
    <w:rsid w:val="002C1F22"/>
    <w:rsid w:val="002C49F3"/>
    <w:rsid w:val="002C64C8"/>
    <w:rsid w:val="002C75B4"/>
    <w:rsid w:val="002D027D"/>
    <w:rsid w:val="002D0CEF"/>
    <w:rsid w:val="002E0DE8"/>
    <w:rsid w:val="002E3D5E"/>
    <w:rsid w:val="002E61ED"/>
    <w:rsid w:val="002F2AF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12D5"/>
    <w:rsid w:val="003A7F73"/>
    <w:rsid w:val="003B243B"/>
    <w:rsid w:val="003C1550"/>
    <w:rsid w:val="003C1A15"/>
    <w:rsid w:val="003C2ECB"/>
    <w:rsid w:val="003C4012"/>
    <w:rsid w:val="003C667D"/>
    <w:rsid w:val="003D44E8"/>
    <w:rsid w:val="003D45EF"/>
    <w:rsid w:val="003D4D3B"/>
    <w:rsid w:val="003E60E5"/>
    <w:rsid w:val="003F0675"/>
    <w:rsid w:val="003F3F9A"/>
    <w:rsid w:val="00405AF2"/>
    <w:rsid w:val="00411051"/>
    <w:rsid w:val="00411061"/>
    <w:rsid w:val="0041222C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10BF"/>
    <w:rsid w:val="004C11A2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50323"/>
    <w:rsid w:val="0055382C"/>
    <w:rsid w:val="00553A27"/>
    <w:rsid w:val="00556E8C"/>
    <w:rsid w:val="00556EC1"/>
    <w:rsid w:val="0055757C"/>
    <w:rsid w:val="005631F6"/>
    <w:rsid w:val="00563AD1"/>
    <w:rsid w:val="00567BD8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BFD"/>
    <w:rsid w:val="005E302F"/>
    <w:rsid w:val="005F0384"/>
    <w:rsid w:val="005F4DC6"/>
    <w:rsid w:val="00600485"/>
    <w:rsid w:val="00602661"/>
    <w:rsid w:val="006027B8"/>
    <w:rsid w:val="00611CE5"/>
    <w:rsid w:val="006150AF"/>
    <w:rsid w:val="00621EF7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C4DC6"/>
    <w:rsid w:val="006D1EC9"/>
    <w:rsid w:val="006D269A"/>
    <w:rsid w:val="006D3D1D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6683"/>
    <w:rsid w:val="007119A9"/>
    <w:rsid w:val="007161D2"/>
    <w:rsid w:val="007164EE"/>
    <w:rsid w:val="00716D92"/>
    <w:rsid w:val="00717F87"/>
    <w:rsid w:val="007244B7"/>
    <w:rsid w:val="007300AE"/>
    <w:rsid w:val="007372C7"/>
    <w:rsid w:val="00737F52"/>
    <w:rsid w:val="007459BC"/>
    <w:rsid w:val="00746B2C"/>
    <w:rsid w:val="00747065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F0A71"/>
    <w:rsid w:val="007F5211"/>
    <w:rsid w:val="0080338D"/>
    <w:rsid w:val="00805057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5D0B"/>
    <w:rsid w:val="009D73AC"/>
    <w:rsid w:val="009E1CEF"/>
    <w:rsid w:val="009E64AA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7C0"/>
    <w:rsid w:val="00A87665"/>
    <w:rsid w:val="00A942DB"/>
    <w:rsid w:val="00A963E7"/>
    <w:rsid w:val="00AA1219"/>
    <w:rsid w:val="00AA1B72"/>
    <w:rsid w:val="00AA5015"/>
    <w:rsid w:val="00AA7AD1"/>
    <w:rsid w:val="00AB35B0"/>
    <w:rsid w:val="00AB3917"/>
    <w:rsid w:val="00AB5369"/>
    <w:rsid w:val="00AB728E"/>
    <w:rsid w:val="00AB7C99"/>
    <w:rsid w:val="00AC3B14"/>
    <w:rsid w:val="00AC5BC9"/>
    <w:rsid w:val="00AC627B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3641"/>
    <w:rsid w:val="00B15211"/>
    <w:rsid w:val="00B236E4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6E62"/>
    <w:rsid w:val="00B73660"/>
    <w:rsid w:val="00B73F2E"/>
    <w:rsid w:val="00B77703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1D21"/>
    <w:rsid w:val="00C03FB1"/>
    <w:rsid w:val="00C07E60"/>
    <w:rsid w:val="00C13723"/>
    <w:rsid w:val="00C25870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424E"/>
    <w:rsid w:val="00CB49CA"/>
    <w:rsid w:val="00CB4D73"/>
    <w:rsid w:val="00CB799B"/>
    <w:rsid w:val="00CC217B"/>
    <w:rsid w:val="00CC679C"/>
    <w:rsid w:val="00CD31CF"/>
    <w:rsid w:val="00CD3289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7FE3"/>
    <w:rsid w:val="00D303FC"/>
    <w:rsid w:val="00D3727F"/>
    <w:rsid w:val="00D43780"/>
    <w:rsid w:val="00D43FB8"/>
    <w:rsid w:val="00D4650E"/>
    <w:rsid w:val="00D47C93"/>
    <w:rsid w:val="00D50FC4"/>
    <w:rsid w:val="00D519E2"/>
    <w:rsid w:val="00D552D3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80F34"/>
    <w:rsid w:val="00E8101B"/>
    <w:rsid w:val="00E85A7C"/>
    <w:rsid w:val="00E8659C"/>
    <w:rsid w:val="00E957BF"/>
    <w:rsid w:val="00E968E8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1F5C"/>
    <w:rsid w:val="00F12F99"/>
    <w:rsid w:val="00F21F3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60</cp:revision>
  <cp:lastPrinted>2022-10-18T10:02:00Z</cp:lastPrinted>
  <dcterms:created xsi:type="dcterms:W3CDTF">2023-04-15T08:24:00Z</dcterms:created>
  <dcterms:modified xsi:type="dcterms:W3CDTF">2023-04-16T11:22:00Z</dcterms:modified>
</cp:coreProperties>
</file>